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E98C2" w14:textId="77777777" w:rsidR="003A21EC" w:rsidRPr="003A21EC" w:rsidRDefault="003A21EC" w:rsidP="003A21EC">
      <w:pPr>
        <w:spacing w:before="120" w:after="3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</w:p>
    <w:p w14:paraId="66B73A0B" w14:textId="77777777" w:rsidR="003A21EC" w:rsidRPr="003A21EC" w:rsidRDefault="003A21EC" w:rsidP="003A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CỦA HỘI ĐỒNG BỘ TRƯỞNG SỐ 125-HĐBT NGÀY 29 THÁNG 7 NĂM 1982 VỀ VIỆC SỬA ĐỔI TỔ CHỨC BỘ MÁY CỦA UỶ BAN KHOA HỌC</w:t>
      </w:r>
      <w:r w:rsidRPr="003A21E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br/>
        <w:t>VÀ KỸ THUẬT NHÀ NƯỚC</w:t>
      </w:r>
    </w:p>
    <w:p w14:paraId="1E3AA3AC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4AA5B1A2" w14:textId="77777777" w:rsidR="003A21EC" w:rsidRPr="003A21EC" w:rsidRDefault="003A21EC" w:rsidP="003A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Arial" w:eastAsia="Times New Roman" w:hAnsi="Arial" w:cs="Arial"/>
          <w:color w:val="222222"/>
          <w:spacing w:val="24"/>
          <w:sz w:val="20"/>
          <w:szCs w:val="20"/>
        </w:rPr>
        <w:t>HỘI ĐỒNG BỘ TRƯỞNG</w:t>
      </w:r>
    </w:p>
    <w:p w14:paraId="519C7DE0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7B95D509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Căn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cứ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vào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Luật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Tổ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chức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Hội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đồng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Bộ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ban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hành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ngày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4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tháng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7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năm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1981;</w:t>
      </w:r>
    </w:p>
    <w:p w14:paraId="3E1AB23B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Căn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cứ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lệ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về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tổ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chức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hoạt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động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của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ban Khoa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Nhà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nước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ban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hành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kèm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theo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Nghị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định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số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192-CP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ngày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13-10-1975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của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Hội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đồng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Chính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phủ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;</w:t>
      </w:r>
    </w:p>
    <w:p w14:paraId="213453EF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Xét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đề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nghị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của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Chủ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ban Khoa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 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Nhà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nước</w:t>
      </w:r>
      <w:proofErr w:type="spellEnd"/>
      <w:r w:rsidRPr="003A21E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.</w:t>
      </w:r>
    </w:p>
    <w:p w14:paraId="6F84AAC6" w14:textId="77777777" w:rsidR="003A21EC" w:rsidRPr="003A21EC" w:rsidRDefault="003A21EC" w:rsidP="003A21EC">
      <w:pPr>
        <w:spacing w:before="36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</w:p>
    <w:p w14:paraId="4F985B8D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22FD002C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1.-</w:t>
      </w: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Nay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vị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5EFC6A8E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a)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Cục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sáng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sở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phòng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sáng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phát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minh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nay.</w:t>
      </w:r>
    </w:p>
    <w:p w14:paraId="1490A9DF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b)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0CD19327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c)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quản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F06E90D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d) Ban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nghiên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cứu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quản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727862B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3252EF6C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2.-</w:t>
      </w: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Mỗi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cục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ban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Cục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cục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giúp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2B7C6DF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4F551B2C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3.-</w:t>
      </w: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chí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quyền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biên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nói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sở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tổng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biên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ban.</w:t>
      </w:r>
    </w:p>
    <w:p w14:paraId="0F004FBD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 </w:t>
      </w:r>
    </w:p>
    <w:p w14:paraId="19FFB697" w14:textId="77777777" w:rsidR="003A21EC" w:rsidRPr="003A21EC" w:rsidRDefault="003A21EC" w:rsidP="003A21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3A21E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4.-</w:t>
      </w: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chí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Uỷ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Khoa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học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kỹ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thuật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chí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Thủ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trưởng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chịu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thi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020C89CA" w14:textId="77777777" w:rsidR="003A21EC" w:rsidRPr="003A21EC" w:rsidRDefault="003A21EC" w:rsidP="003A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A21E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1A6817DD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EC"/>
    <w:rsid w:val="003A21EC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8717"/>
  <w15:chartTrackingRefBased/>
  <w15:docId w15:val="{ED774E5A-0E94-496D-BF46-E122C291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2022-07-20T01:41:00Z</dcterms:created>
  <dcterms:modified xsi:type="dcterms:W3CDTF">2022-07-20T01:42:00Z</dcterms:modified>
</cp:coreProperties>
</file>