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52E999D8"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57ECB907" w14:textId="77777777" w:rsidR="00000000" w:rsidRDefault="00000000">
            <w:pPr>
              <w:spacing w:before="120"/>
              <w:jc w:val="center"/>
            </w:pPr>
            <w:r>
              <w:rPr>
                <w:b/>
                <w:bCs/>
                <w:lang w:val="vi-VN"/>
              </w:rPr>
              <w:t>KIỂM TOÁN NHÀ NƯỚC</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2F8315D7" w14:textId="77777777"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0D23D667"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66BFCAE8" w14:textId="77777777" w:rsidR="00000000" w:rsidRDefault="00000000">
            <w:pPr>
              <w:spacing w:before="120"/>
              <w:jc w:val="center"/>
            </w:pPr>
            <w:r>
              <w:rPr>
                <w:lang w:val="vi-VN"/>
              </w:rPr>
              <w:t xml:space="preserve">Số: </w:t>
            </w:r>
            <w:r>
              <w:t>1416/</w:t>
            </w:r>
            <w:r>
              <w:rPr>
                <w:lang w:val="vi-VN"/>
              </w:rPr>
              <w:t>QĐ-KTNN</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66D82582" w14:textId="77777777" w:rsidR="00000000" w:rsidRDefault="00000000">
            <w:pPr>
              <w:spacing w:before="120"/>
              <w:jc w:val="right"/>
            </w:pPr>
            <w:r>
              <w:rPr>
                <w:i/>
                <w:iCs/>
                <w:lang w:val="vi-VN"/>
              </w:rPr>
              <w:t xml:space="preserve">Hà Nội, ngày </w:t>
            </w:r>
            <w:r>
              <w:rPr>
                <w:i/>
                <w:iCs/>
              </w:rPr>
              <w:t>09</w:t>
            </w:r>
            <w:r>
              <w:rPr>
                <w:i/>
                <w:iCs/>
                <w:lang w:val="vi-VN"/>
              </w:rPr>
              <w:t xml:space="preserve"> tháng </w:t>
            </w:r>
            <w:r>
              <w:rPr>
                <w:i/>
                <w:iCs/>
              </w:rPr>
              <w:t xml:space="preserve">11 </w:t>
            </w:r>
            <w:r>
              <w:rPr>
                <w:i/>
                <w:iCs/>
                <w:lang w:val="vi-VN"/>
              </w:rPr>
              <w:t>n</w:t>
            </w:r>
            <w:r>
              <w:rPr>
                <w:i/>
                <w:iCs/>
              </w:rPr>
              <w:t>ă</w:t>
            </w:r>
            <w:r>
              <w:rPr>
                <w:i/>
                <w:iCs/>
                <w:lang w:val="vi-VN"/>
              </w:rPr>
              <w:t>m 2022</w:t>
            </w:r>
          </w:p>
        </w:tc>
      </w:tr>
    </w:tbl>
    <w:p w14:paraId="32E4EFA8" w14:textId="77777777" w:rsidR="00000000" w:rsidRDefault="00000000">
      <w:pPr>
        <w:spacing w:before="120" w:after="280" w:afterAutospacing="1"/>
      </w:pPr>
      <w:r>
        <w:t> </w:t>
      </w:r>
    </w:p>
    <w:p w14:paraId="13CAC964" w14:textId="77777777" w:rsidR="00000000" w:rsidRDefault="00000000">
      <w:pPr>
        <w:spacing w:before="120" w:after="280" w:afterAutospacing="1"/>
        <w:jc w:val="center"/>
      </w:pPr>
      <w:r>
        <w:rPr>
          <w:b/>
          <w:bCs/>
          <w:lang w:val="vi-VN"/>
        </w:rPr>
        <w:t>QUYẾT ĐỊNH</w:t>
      </w:r>
    </w:p>
    <w:p w14:paraId="659CAE22" w14:textId="77777777" w:rsidR="00000000" w:rsidRDefault="00000000">
      <w:pPr>
        <w:spacing w:before="120" w:after="280" w:afterAutospacing="1"/>
        <w:jc w:val="center"/>
      </w:pPr>
      <w:r>
        <w:rPr>
          <w:lang w:val="vi-VN"/>
        </w:rPr>
        <w:t>BAN HÀNH QUY ĐỊNH VỀ VIỆC SỬ DỤNG VÀ QUẢN LÝ HỘ CHIẾU NGOẠI GIAO, HỘ CHIẾU CÔNG VỤ ĐỐI VỚI CÁN BỘ, CÔNG CHỨC, VIÊN CHỨC CỦA KIỂM TOÁN NHÀ NƯỚC</w:t>
      </w:r>
    </w:p>
    <w:p w14:paraId="46D14005" w14:textId="77777777" w:rsidR="00000000" w:rsidRDefault="00000000">
      <w:pPr>
        <w:spacing w:before="120" w:after="280" w:afterAutospacing="1"/>
        <w:jc w:val="center"/>
      </w:pPr>
      <w:r>
        <w:rPr>
          <w:b/>
          <w:bCs/>
          <w:lang w:val="vi-VN"/>
        </w:rPr>
        <w:t>TỔNG KIỂM TOÁN NHÀ NƯỚC</w:t>
      </w:r>
    </w:p>
    <w:p w14:paraId="6491C858" w14:textId="77777777" w:rsidR="00000000" w:rsidRDefault="00000000">
      <w:pPr>
        <w:spacing w:before="120" w:after="280" w:afterAutospacing="1"/>
      </w:pPr>
      <w:r>
        <w:rPr>
          <w:i/>
          <w:iCs/>
          <w:lang w:val="vi-VN"/>
        </w:rPr>
        <w:t>Căn cứ Luật Kiểm toán nhà nước ngày 24 tháng 6 n</w:t>
      </w:r>
      <w:r>
        <w:rPr>
          <w:i/>
          <w:iCs/>
        </w:rPr>
        <w:t>ă</w:t>
      </w:r>
      <w:r>
        <w:rPr>
          <w:i/>
          <w:iCs/>
          <w:lang w:val="vi-VN"/>
        </w:rPr>
        <w:t>m 2015 và Luật sửa đổi, bổ sung một số điều của Luật Kiểm toán nhà nước ngày 26 tháng 11 năm 2019;</w:t>
      </w:r>
    </w:p>
    <w:p w14:paraId="47BFD194" w14:textId="77777777" w:rsidR="00000000" w:rsidRDefault="00000000">
      <w:pPr>
        <w:spacing w:before="120" w:after="280" w:afterAutospacing="1"/>
      </w:pPr>
      <w:r>
        <w:rPr>
          <w:i/>
          <w:iCs/>
          <w:lang w:val="vi-VN"/>
        </w:rPr>
        <w:t>Căn cứ Luật Xuất cảnh, nhập cảnh của công dân Việt Nam ngày 22 tháng 11 năm 2019;</w:t>
      </w:r>
    </w:p>
    <w:p w14:paraId="24D7ED0A" w14:textId="77777777" w:rsidR="00000000" w:rsidRDefault="00000000">
      <w:pPr>
        <w:spacing w:before="120" w:after="280" w:afterAutospacing="1"/>
      </w:pPr>
      <w:r>
        <w:rPr>
          <w:i/>
          <w:iCs/>
          <w:lang w:val="vi-VN"/>
        </w:rPr>
        <w:t>Xét đề nghị của Vụ trưởng Vụ Hợp tác quốc tế.</w:t>
      </w:r>
    </w:p>
    <w:p w14:paraId="0AAD5D0C" w14:textId="77777777" w:rsidR="00000000" w:rsidRDefault="00000000">
      <w:pPr>
        <w:spacing w:before="120" w:after="280" w:afterAutospacing="1"/>
        <w:jc w:val="center"/>
      </w:pPr>
      <w:r>
        <w:rPr>
          <w:b/>
          <w:bCs/>
          <w:lang w:val="vi-VN"/>
        </w:rPr>
        <w:t>QUYẾT ĐỊNH:</w:t>
      </w:r>
    </w:p>
    <w:p w14:paraId="37D7429E" w14:textId="77777777" w:rsidR="00000000" w:rsidRDefault="00000000">
      <w:pPr>
        <w:spacing w:before="120" w:after="280" w:afterAutospacing="1"/>
      </w:pPr>
      <w:r>
        <w:rPr>
          <w:b/>
          <w:bCs/>
          <w:lang w:val="vi-VN"/>
        </w:rPr>
        <w:t>Điều 1.</w:t>
      </w:r>
      <w:r>
        <w:rPr>
          <w:lang w:val="vi-VN"/>
        </w:rPr>
        <w:t xml:space="preserve"> Ban hành kèm theo Quyết định này “Quy định về việc sử dụng và quản lý hộ chiếu ngoại giao, hộ chiếu công vụ đối với cán bộ, công chức, viên chức của Kiểm toán nhà nước”.</w:t>
      </w:r>
    </w:p>
    <w:p w14:paraId="58237626" w14:textId="77777777" w:rsidR="00000000" w:rsidRDefault="00000000">
      <w:pPr>
        <w:spacing w:before="120" w:after="280" w:afterAutospacing="1"/>
      </w:pPr>
      <w:r>
        <w:rPr>
          <w:b/>
          <w:bCs/>
          <w:lang w:val="vi-VN"/>
        </w:rPr>
        <w:t>Điều 2.</w:t>
      </w:r>
      <w:r>
        <w:rPr>
          <w:lang w:val="vi-VN"/>
        </w:rPr>
        <w:t xml:space="preserve"> Quyết định này có hiệu lực kể từ ngày ký và thay thế Quyết định số 541/QĐ-KTNN ngày 09 tháng 5 năm 2013 của Tổng Kiểm toán nhà nước ban hành Quy định về việc sử dụng và quản lý hộ chiếu ngoại giao, hộ chiếu công vụ đối với cán bộ, công chức của Kiểm toán nhà nước.</w:t>
      </w:r>
    </w:p>
    <w:p w14:paraId="637865F8" w14:textId="77777777" w:rsidR="00000000" w:rsidRDefault="00000000">
      <w:pPr>
        <w:spacing w:before="120" w:after="280" w:afterAutospacing="1"/>
      </w:pPr>
      <w:r>
        <w:rPr>
          <w:b/>
          <w:bCs/>
          <w:lang w:val="vi-VN"/>
        </w:rPr>
        <w:t>Điều 3.</w:t>
      </w:r>
      <w:r>
        <w:rPr>
          <w:lang w:val="vi-VN"/>
        </w:rPr>
        <w:t xml:space="preserve"> Thủ trưởng các đơn vị trực thuộc Kiểm toán nhà nước và các cán bộ, công chức, viên chức của Kiểm toán nhà nước chịu trách nhiệm thi hành Quyết định này./</w:t>
      </w:r>
      <w:r>
        <w:t>.</w:t>
      </w:r>
    </w:p>
    <w:p w14:paraId="1CECD6F4"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027AB854"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44FF0BC8" w14:textId="77777777" w:rsidR="00000000" w:rsidRDefault="00000000">
            <w:pPr>
              <w:spacing w:before="120"/>
            </w:pPr>
            <w:r>
              <w:rPr>
                <w:b/>
                <w:bCs/>
                <w:i/>
                <w:iCs/>
                <w:lang w:val="vi-VN"/>
              </w:rPr>
              <w:br/>
              <w:t>Nơi nhận:</w:t>
            </w:r>
            <w:r>
              <w:rPr>
                <w:b/>
                <w:bCs/>
                <w:i/>
                <w:iCs/>
                <w:lang w:val="vi-VN"/>
              </w:rPr>
              <w:br/>
            </w:r>
            <w:r>
              <w:rPr>
                <w:sz w:val="16"/>
                <w:lang w:val="vi-VN"/>
              </w:rPr>
              <w:t>- Như Điều 3;</w:t>
            </w:r>
            <w:r>
              <w:rPr>
                <w:sz w:val="16"/>
                <w:lang w:val="vi-VN"/>
              </w:rPr>
              <w:br/>
              <w:t>- Bộ Ngoại giao;</w:t>
            </w:r>
            <w:r>
              <w:rPr>
                <w:sz w:val="16"/>
                <w:lang w:val="vi-VN"/>
              </w:rPr>
              <w:br/>
              <w:t>- Bộ Công an;</w:t>
            </w:r>
            <w:r>
              <w:rPr>
                <w:sz w:val="16"/>
                <w:lang w:val="vi-VN"/>
              </w:rPr>
              <w:br/>
              <w:t>- Đảng ủy KTNN;</w:t>
            </w:r>
            <w:r>
              <w:rPr>
                <w:sz w:val="16"/>
                <w:lang w:val="vi-VN"/>
              </w:rPr>
              <w:br/>
              <w:t>- Lãnh đạo KTNN;</w:t>
            </w:r>
            <w:r>
              <w:rPr>
                <w:sz w:val="16"/>
                <w:lang w:val="vi-VN"/>
              </w:rPr>
              <w:br/>
              <w:t>- Công đoàn KTNN;</w:t>
            </w:r>
            <w:r>
              <w:rPr>
                <w:sz w:val="16"/>
                <w:lang w:val="vi-VN"/>
              </w:rPr>
              <w:br/>
              <w:t>- Đoàn Thanh niên CSHCM KTNN</w:t>
            </w:r>
            <w:r>
              <w:rPr>
                <w:sz w:val="16"/>
              </w:rPr>
              <w:t>;</w:t>
            </w:r>
            <w:r>
              <w:rPr>
                <w:sz w:val="16"/>
              </w:rPr>
              <w:br/>
            </w:r>
            <w:r>
              <w:rPr>
                <w:sz w:val="16"/>
                <w:lang w:val="vi-VN"/>
              </w:rPr>
              <w:t>- Lưu: VT, HTQT (02).</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0773D9E4" w14:textId="77777777" w:rsidR="00000000" w:rsidRDefault="00000000">
            <w:pPr>
              <w:spacing w:before="120"/>
              <w:jc w:val="center"/>
            </w:pPr>
            <w:r>
              <w:rPr>
                <w:b/>
                <w:bCs/>
              </w:rPr>
              <w:t>TỔNG KIỂM TOÁN NHÀ NƯỚC</w:t>
            </w:r>
            <w:r>
              <w:rPr>
                <w:b/>
                <w:bCs/>
              </w:rPr>
              <w:br/>
            </w:r>
            <w:r>
              <w:rPr>
                <w:b/>
                <w:bCs/>
              </w:rPr>
              <w:br/>
            </w:r>
            <w:r>
              <w:rPr>
                <w:b/>
                <w:bCs/>
              </w:rPr>
              <w:br/>
            </w:r>
            <w:r>
              <w:rPr>
                <w:b/>
                <w:bCs/>
              </w:rPr>
              <w:br/>
            </w:r>
            <w:r>
              <w:rPr>
                <w:b/>
                <w:bCs/>
              </w:rPr>
              <w:br/>
              <w:t>Ngô Văn Tuấn</w:t>
            </w:r>
          </w:p>
        </w:tc>
      </w:tr>
    </w:tbl>
    <w:p w14:paraId="38FE2058" w14:textId="77777777" w:rsidR="00000000" w:rsidRDefault="00000000">
      <w:pPr>
        <w:spacing w:before="120" w:after="280" w:afterAutospacing="1"/>
      </w:pPr>
      <w:r>
        <w:t> </w:t>
      </w:r>
    </w:p>
    <w:p w14:paraId="082BA1CC" w14:textId="77777777" w:rsidR="00000000" w:rsidRDefault="00000000">
      <w:pPr>
        <w:spacing w:before="120" w:after="280" w:afterAutospacing="1"/>
        <w:jc w:val="center"/>
      </w:pPr>
      <w:r>
        <w:rPr>
          <w:b/>
          <w:bCs/>
          <w:lang w:val="vi-VN"/>
        </w:rPr>
        <w:lastRenderedPageBreak/>
        <w:t>QUY ĐỊNH</w:t>
      </w:r>
    </w:p>
    <w:p w14:paraId="0CEAC0B7" w14:textId="77777777" w:rsidR="00000000" w:rsidRDefault="00000000">
      <w:pPr>
        <w:spacing w:before="120" w:after="280" w:afterAutospacing="1"/>
        <w:jc w:val="center"/>
      </w:pPr>
      <w:r>
        <w:rPr>
          <w:lang w:val="vi-VN"/>
        </w:rPr>
        <w:t>VỀ VIỆC SỬ DỤNG VÀ QUẢN LÝ HỘ CHIẾU NGOẠI GIAO, HỘ CHIẾU CÔNG VỤ ĐỐI VỚI CÁN BỘ, CÔNG CHỨC, VIÊN CHỨC CỦA KIỂM TOÁN NHÀ NƯỚC</w:t>
      </w:r>
      <w:r>
        <w:br/>
      </w:r>
      <w:r>
        <w:rPr>
          <w:i/>
          <w:iCs/>
          <w:lang w:val="vi-VN"/>
        </w:rPr>
        <w:t>(Ban hành kèm theo Quyết định s</w:t>
      </w:r>
      <w:r>
        <w:rPr>
          <w:i/>
          <w:iCs/>
        </w:rPr>
        <w:t>ố 141</w:t>
      </w:r>
      <w:r>
        <w:rPr>
          <w:i/>
          <w:iCs/>
          <w:lang w:val="vi-VN"/>
        </w:rPr>
        <w:t>6/QĐ-KTNN ngày</w:t>
      </w:r>
      <w:r>
        <w:rPr>
          <w:i/>
          <w:iCs/>
        </w:rPr>
        <w:t xml:space="preserve"> 09</w:t>
      </w:r>
      <w:r>
        <w:rPr>
          <w:i/>
          <w:iCs/>
          <w:lang w:val="vi-VN"/>
        </w:rPr>
        <w:t xml:space="preserve"> tháng</w:t>
      </w:r>
      <w:r>
        <w:rPr>
          <w:i/>
          <w:iCs/>
        </w:rPr>
        <w:t xml:space="preserve"> 11 </w:t>
      </w:r>
      <w:r>
        <w:rPr>
          <w:i/>
          <w:iCs/>
          <w:lang w:val="vi-VN"/>
        </w:rPr>
        <w:t>n</w:t>
      </w:r>
      <w:r>
        <w:rPr>
          <w:i/>
          <w:iCs/>
        </w:rPr>
        <w:t>ă</w:t>
      </w:r>
      <w:r>
        <w:rPr>
          <w:i/>
          <w:iCs/>
          <w:lang w:val="vi-VN"/>
        </w:rPr>
        <w:t>m 2022 của Tổng Kiểm toán nhà nước)</w:t>
      </w:r>
    </w:p>
    <w:p w14:paraId="24EFE966" w14:textId="77777777" w:rsidR="00000000" w:rsidRDefault="00000000">
      <w:pPr>
        <w:spacing w:before="120" w:after="280" w:afterAutospacing="1"/>
      </w:pPr>
      <w:r>
        <w:rPr>
          <w:b/>
          <w:bCs/>
          <w:lang w:val="vi-VN"/>
        </w:rPr>
        <w:t>Điều 1. Phạm vi điều chỉnh</w:t>
      </w:r>
    </w:p>
    <w:p w14:paraId="22D9BB62" w14:textId="77777777" w:rsidR="00000000" w:rsidRDefault="00000000">
      <w:pPr>
        <w:spacing w:before="120" w:after="280" w:afterAutospacing="1"/>
      </w:pPr>
      <w:r>
        <w:rPr>
          <w:lang w:val="vi-VN"/>
        </w:rPr>
        <w:t>Quy định này quy định việc sử dụng và quản lý hộ chiếu ngoại giao, hộ chiếu công vụ (sau đây gọi chung là hộ chiếu) ở trong và ngoài nước đối với cán bộ, công chức, viên chức (sau đây gọi tắt là CBCCVC) của Kiểm toán nhà nước.</w:t>
      </w:r>
    </w:p>
    <w:p w14:paraId="15F66377" w14:textId="77777777" w:rsidR="00000000" w:rsidRDefault="00000000">
      <w:pPr>
        <w:spacing w:before="120" w:after="280" w:afterAutospacing="1"/>
      </w:pPr>
      <w:r>
        <w:rPr>
          <w:b/>
          <w:bCs/>
          <w:lang w:val="vi-VN"/>
        </w:rPr>
        <w:t>Điều 2. Đối tượng áp dụng</w:t>
      </w:r>
    </w:p>
    <w:p w14:paraId="28527CF0" w14:textId="77777777" w:rsidR="00000000" w:rsidRDefault="00000000">
      <w:pPr>
        <w:spacing w:before="120" w:after="280" w:afterAutospacing="1"/>
      </w:pPr>
      <w:r>
        <w:rPr>
          <w:lang w:val="vi-VN"/>
        </w:rPr>
        <w:t>Quy định này áp dụng đối với CBCCVC của Kiểm toán nhà nước được cấp hộ chiếu theo quy định tại Luật Xuất cảnh, nhập cảnh của công dân Việt Nam số 49/2019/QH14 được Quốc hội thông qua ngày 22 tháng 11 năm 2019 và có hiệu lực từ ngày 01 tháng 7 năm 2020.</w:t>
      </w:r>
    </w:p>
    <w:p w14:paraId="7F8FB935" w14:textId="77777777" w:rsidR="00000000" w:rsidRDefault="00000000">
      <w:pPr>
        <w:spacing w:before="120" w:after="280" w:afterAutospacing="1"/>
      </w:pPr>
      <w:r>
        <w:rPr>
          <w:lang w:val="vi-VN"/>
        </w:rPr>
        <w:t>Đối tượng được cấp hộ chiếu ngoại giao: Tổng Kiểm toán nhà nước, các Phó Tổng Kiểm toán nhà nước.</w:t>
      </w:r>
    </w:p>
    <w:p w14:paraId="47C12508" w14:textId="77777777" w:rsidR="00000000" w:rsidRDefault="00000000">
      <w:pPr>
        <w:spacing w:before="120" w:after="280" w:afterAutospacing="1"/>
      </w:pPr>
      <w:r>
        <w:rPr>
          <w:lang w:val="vi-VN"/>
        </w:rPr>
        <w:t>Đối tượng được cấp hộ chiếu công vụ: (i) Công chức của các đơn vị tham mưu, Kiểm toán nhà nước chuyên ngành, Kiểm toán nhà nước khu vực; (ii) Viên chức là lãnh đạo cấp Vụ, cấp phòng của các đơn vị sự nghiệp.</w:t>
      </w:r>
    </w:p>
    <w:p w14:paraId="57B68AA2" w14:textId="77777777" w:rsidR="00000000" w:rsidRDefault="00000000">
      <w:pPr>
        <w:spacing w:before="120" w:after="280" w:afterAutospacing="1"/>
      </w:pPr>
      <w:r>
        <w:rPr>
          <w:b/>
          <w:bCs/>
          <w:lang w:val="vi-VN"/>
        </w:rPr>
        <w:t>Điều 3. Nguyên tắc sử dụng, quản lý hộ chiếu</w:t>
      </w:r>
    </w:p>
    <w:p w14:paraId="10F143D1" w14:textId="77777777" w:rsidR="00000000" w:rsidRDefault="00000000">
      <w:pPr>
        <w:spacing w:before="120" w:after="280" w:afterAutospacing="1"/>
      </w:pPr>
      <w:r>
        <w:rPr>
          <w:lang w:val="vi-VN"/>
        </w:rPr>
        <w:t>1. Hộ chiếu là giấy tờ thuộc quyền sở hữu của Nhà nước, do cơ quan có thẩm quyền của Việt Nam cấp cho công dân Việt Nam sử dụng để xuất cảnh, nhập cảnh, chứng minh quốc tịch và nhân thân. Việc sử dụng và quản lý hộ chiếu của CBCCVC thuộc Kiểm toán nhà nước phải được thực hiện theo Quy định này và các quy định pháp luật khác có liên quan. Việc sử dụng hộ chiếu không được gây thiệt hại đến uy tín và lợi ích của Kiểm toán nhà nước và của Nhà nước Việt Nam.</w:t>
      </w:r>
    </w:p>
    <w:p w14:paraId="12C37009" w14:textId="77777777" w:rsidR="00000000" w:rsidRDefault="00000000">
      <w:pPr>
        <w:spacing w:before="120" w:after="280" w:afterAutospacing="1"/>
      </w:pPr>
      <w:r>
        <w:rPr>
          <w:lang w:val="vi-VN"/>
        </w:rPr>
        <w:t>2. CBCCVC của Kiểm toán nhà nước sử dụng và quản lý hộ chiếu sai quy định, sai mục đích thì tùy theo tính chất và mức độ vi phạm sẽ bị xử lý kỷ luật, xử phạt hành chính hoặc bị truy cứu trách nhiệm hình sự.</w:t>
      </w:r>
    </w:p>
    <w:p w14:paraId="6EADCB34" w14:textId="77777777" w:rsidR="00000000" w:rsidRDefault="00000000">
      <w:pPr>
        <w:spacing w:before="120" w:after="280" w:afterAutospacing="1"/>
      </w:pPr>
      <w:r>
        <w:rPr>
          <w:b/>
          <w:bCs/>
          <w:lang w:val="vi-VN"/>
        </w:rPr>
        <w:t>Điều 4. Trách nhiệm của người được cấp hộ chiếu</w:t>
      </w:r>
    </w:p>
    <w:p w14:paraId="1C59841A" w14:textId="77777777" w:rsidR="00000000" w:rsidRDefault="00000000">
      <w:pPr>
        <w:spacing w:before="120" w:after="280" w:afterAutospacing="1"/>
      </w:pPr>
      <w:r>
        <w:rPr>
          <w:lang w:val="vi-VN"/>
        </w:rPr>
        <w:t>1. Người được cấp hộ chiếu ngoại giao, hộ chiếu công vụ sử dụng hộ chiếu ngoại giao, hộ chiếu công vụ trong trường hợp đi nước ngoài theo quyết định cử đi công tác nước ngoài của Tổng Kiểm toán nhà nước, trừ trường hợp đi học tập ở nước ngoài với thời hạn trên 06 tháng.</w:t>
      </w:r>
    </w:p>
    <w:p w14:paraId="312D96D0" w14:textId="77777777" w:rsidR="00000000" w:rsidRDefault="00000000">
      <w:pPr>
        <w:spacing w:before="120" w:after="280" w:afterAutospacing="1"/>
      </w:pPr>
      <w:r>
        <w:rPr>
          <w:lang w:val="vi-VN"/>
        </w:rPr>
        <w:t>2. Việc sử dụng hộ chiếu ngoại giao, hộ chiếu công vụ đi công tác nước ngoài phù hợp với quyết định cử đi công tác và tính chất công việc thực hiện ở nước ngoài.</w:t>
      </w:r>
    </w:p>
    <w:p w14:paraId="3CFF7A56" w14:textId="77777777" w:rsidR="00000000" w:rsidRDefault="00000000">
      <w:pPr>
        <w:spacing w:before="120" w:after="280" w:afterAutospacing="1"/>
      </w:pPr>
      <w:r>
        <w:rPr>
          <w:lang w:val="vi-VN"/>
        </w:rPr>
        <w:t>3. Trong thời hạn 05 ngày làm việc kể từ ngày nhập cảnh Việt Nam sau khi kết thúc chuy</w:t>
      </w:r>
      <w:r>
        <w:t>ế</w:t>
      </w:r>
      <w:r>
        <w:rPr>
          <w:lang w:val="vi-VN"/>
        </w:rPr>
        <w:t>n công tác nước ngoài, phải nộp hộ chiếu cho đơn vị quản lý hộ chiếu để quản lý, trừ trường hợp có lý do chính đáng do Tổng Kiểm toán nhà nước quyết định.</w:t>
      </w:r>
    </w:p>
    <w:p w14:paraId="300507BD" w14:textId="77777777" w:rsidR="00000000" w:rsidRDefault="00000000">
      <w:pPr>
        <w:spacing w:before="120" w:after="280" w:afterAutospacing="1"/>
      </w:pPr>
      <w:r>
        <w:rPr>
          <w:lang w:val="vi-VN"/>
        </w:rPr>
        <w:t>4. Khi thay đổi cơ quan làm việc, phải báo cáo cơ quan, người quản lý hộ chiếu nơi chuyển đi và chuyển đến để thực hiện việc quản lý hộ chiếu ngoại giao, hộ chiếu công vụ theo quy định.</w:t>
      </w:r>
    </w:p>
    <w:p w14:paraId="4C06B6F9" w14:textId="77777777" w:rsidR="00000000" w:rsidRDefault="00000000">
      <w:pPr>
        <w:spacing w:before="120" w:after="280" w:afterAutospacing="1"/>
      </w:pPr>
      <w:r>
        <w:rPr>
          <w:lang w:val="vi-VN"/>
        </w:rPr>
        <w:t>5. Không được sử dụng hộ chiếu để đi nước ngoài với mục đích cá nhân.</w:t>
      </w:r>
    </w:p>
    <w:p w14:paraId="38A65C14" w14:textId="77777777" w:rsidR="00000000" w:rsidRDefault="00000000">
      <w:pPr>
        <w:spacing w:before="120" w:after="280" w:afterAutospacing="1"/>
      </w:pPr>
      <w:r>
        <w:rPr>
          <w:b/>
          <w:bCs/>
          <w:lang w:val="vi-VN"/>
        </w:rPr>
        <w:t>Điều 5. Trách nhiệm của đơn vị có thẩm quyền quản lý hộ chiếu</w:t>
      </w:r>
    </w:p>
    <w:p w14:paraId="61273B23" w14:textId="77777777" w:rsidR="00000000" w:rsidRDefault="00000000">
      <w:pPr>
        <w:spacing w:before="120" w:after="280" w:afterAutospacing="1"/>
      </w:pPr>
      <w:r>
        <w:rPr>
          <w:lang w:val="vi-VN"/>
        </w:rPr>
        <w:t>1. Vụ Hợp tác quốc tế là đơn vị được Tổng Kiểm toán nhà nước ủy quyền quản lý hộ chiếu ngoại giao, hộ chiếu công vụ, có trách nhiệm như sau:</w:t>
      </w:r>
    </w:p>
    <w:p w14:paraId="39149FAE" w14:textId="77777777" w:rsidR="00000000" w:rsidRDefault="00000000">
      <w:pPr>
        <w:spacing w:before="120" w:after="280" w:afterAutospacing="1"/>
      </w:pPr>
      <w:r>
        <w:rPr>
          <w:lang w:val="vi-VN"/>
        </w:rPr>
        <w:t>a) Quản lý hộ chiếu ngoại giao, hộ chiếu công vụ của cán bộ, công chức, viên chức Kiểm toán nhà nước thuộc phạm vi quản lý của mình;</w:t>
      </w:r>
    </w:p>
    <w:p w14:paraId="673EBA9D" w14:textId="77777777" w:rsidR="00000000" w:rsidRDefault="00000000">
      <w:pPr>
        <w:spacing w:before="120" w:after="280" w:afterAutospacing="1"/>
      </w:pPr>
      <w:r>
        <w:rPr>
          <w:lang w:val="vi-VN"/>
        </w:rPr>
        <w:t>b) Quản lý hộ chiếu ngoại giao của vợ hoặc chồng Tổng Kiểm toán nhà nước và Phó Tổng Kiểm toán nhà nước thuộc phạm vi quản lý của mình cùng đi theo hành trình công tác.</w:t>
      </w:r>
    </w:p>
    <w:p w14:paraId="6C8A0228" w14:textId="77777777" w:rsidR="00000000" w:rsidRDefault="00000000">
      <w:pPr>
        <w:spacing w:before="120" w:after="280" w:afterAutospacing="1"/>
      </w:pPr>
      <w:r>
        <w:rPr>
          <w:lang w:val="vi-VN"/>
        </w:rPr>
        <w:t>2. Trình tự, thủ tục quản lý hộ chiếu ngoại giao, hộ chiếu công vụ được quy định như sau:</w:t>
      </w:r>
    </w:p>
    <w:p w14:paraId="0581B2AB" w14:textId="77777777" w:rsidR="00000000" w:rsidRDefault="00000000">
      <w:pPr>
        <w:spacing w:before="120" w:after="280" w:afterAutospacing="1"/>
      </w:pPr>
      <w:r>
        <w:rPr>
          <w:lang w:val="vi-VN"/>
        </w:rPr>
        <w:t>a) Lập sổ theo dõi việc giao, nhận hộ chiếu và bảo đảm an toàn tuyệt đối cho hộ chiếu khi được lưu giữ tại đơn vị quản lý hộ chiếu;</w:t>
      </w:r>
    </w:p>
    <w:p w14:paraId="5BB00098" w14:textId="77777777" w:rsidR="00000000" w:rsidRDefault="00000000">
      <w:pPr>
        <w:spacing w:before="120" w:after="280" w:afterAutospacing="1"/>
      </w:pPr>
      <w:r>
        <w:rPr>
          <w:lang w:val="vi-VN"/>
        </w:rPr>
        <w:t>b) Bàn giao hộ chiếu cho người được cấp khi có quyết định cử đi công tác nước ngoài. Việc bàn giao hộ chiếu phải có ký nhận;</w:t>
      </w:r>
    </w:p>
    <w:p w14:paraId="0A13A316" w14:textId="77777777" w:rsidR="00000000" w:rsidRDefault="00000000">
      <w:pPr>
        <w:spacing w:before="120" w:after="280" w:afterAutospacing="1"/>
      </w:pPr>
      <w:r>
        <w:rPr>
          <w:lang w:val="vi-VN"/>
        </w:rPr>
        <w:t>c) Chuyển hộ chiếu cho cơ quan, người quản lý hộ chiếu mới khi người được cấp hộ chiếu được điều chuyển công tác;</w:t>
      </w:r>
    </w:p>
    <w:p w14:paraId="2E642AA1" w14:textId="77777777" w:rsidR="00000000" w:rsidRDefault="00000000">
      <w:pPr>
        <w:spacing w:before="120" w:after="280" w:afterAutospacing="1"/>
      </w:pPr>
      <w:r>
        <w:rPr>
          <w:lang w:val="vi-VN"/>
        </w:rPr>
        <w:t>d) Báo cáo bằng văn bản cho cơ quan, người có thẩm quyền về việc người được cấp hộ chiếu cố t</w:t>
      </w:r>
      <w:r>
        <w:t>ì</w:t>
      </w:r>
      <w:r>
        <w:rPr>
          <w:lang w:val="vi-VN"/>
        </w:rPr>
        <w:t>nh không giao hộ chiếu cho cơ quan, người quản lý hộ chiếu, sử dụng hộ chiếu không đúng quy định;</w:t>
      </w:r>
    </w:p>
    <w:p w14:paraId="53C43FB3" w14:textId="77777777" w:rsidR="00000000" w:rsidRDefault="00000000">
      <w:pPr>
        <w:spacing w:before="120" w:after="280" w:afterAutospacing="1"/>
      </w:pPr>
      <w:r>
        <w:rPr>
          <w:lang w:val="vi-VN"/>
        </w:rPr>
        <w:t>đ) Thông báo ngay bằng văn bản cho cơ quan cấp hộ chiếu thuộc Bộ Ngoại giao và Cơ quan Quản lý xuất nhập cảnh Bộ Công an về việc hộ chiếu do cơ quan mình quản lý bị mất, bị hỏng;</w:t>
      </w:r>
    </w:p>
    <w:p w14:paraId="2ACC8E5F" w14:textId="77777777" w:rsidR="00000000" w:rsidRDefault="00000000">
      <w:pPr>
        <w:spacing w:before="120" w:after="280" w:afterAutospacing="1"/>
      </w:pPr>
      <w:r>
        <w:rPr>
          <w:lang w:val="vi-VN"/>
        </w:rPr>
        <w:t>e) Chuyển cho cơ quan cấp hộ chiếu thuộc Bộ Ngoại giao để hủy giá trị sử dụng hộ chiếu của người không còn thuộc đối tượng được sử dụng hộ chiếu ngoại giao, hộ chiếu công vụ, bao gồm cả những người đã nghỉ hưu, thôi việc, ra khỏi biên chế, bị chết, bị mất tích;</w:t>
      </w:r>
    </w:p>
    <w:p w14:paraId="047E8BE9" w14:textId="77777777" w:rsidR="00000000" w:rsidRDefault="00000000">
      <w:pPr>
        <w:spacing w:before="120" w:after="280" w:afterAutospacing="1"/>
      </w:pPr>
      <w:r>
        <w:rPr>
          <w:lang w:val="vi-VN"/>
        </w:rPr>
        <w:t>g) Báo cáo cơ quan có thẩm quyền để xử lý vi phạm đối với việc sử dụng và quản lý hộ chiếu không đúng mục đích.</w:t>
      </w:r>
    </w:p>
    <w:p w14:paraId="05CA225E" w14:textId="77777777" w:rsidR="00000000" w:rsidRDefault="00000000">
      <w:pPr>
        <w:spacing w:before="120" w:after="280" w:afterAutospacing="1"/>
      </w:pPr>
      <w:r>
        <w:rPr>
          <w:b/>
          <w:bCs/>
          <w:lang w:val="vi-VN"/>
        </w:rPr>
        <w:t>Điều 6. Phân công quản lý hộ chiếu</w:t>
      </w:r>
    </w:p>
    <w:p w14:paraId="369536E2" w14:textId="77777777" w:rsidR="00000000" w:rsidRDefault="00000000">
      <w:pPr>
        <w:spacing w:before="120" w:after="280" w:afterAutospacing="1"/>
      </w:pPr>
      <w:r>
        <w:rPr>
          <w:lang w:val="vi-VN"/>
        </w:rPr>
        <w:t xml:space="preserve">Vụ Hợp tác quốc tế có </w:t>
      </w:r>
      <w:r>
        <w:t>tr</w:t>
      </w:r>
      <w:r>
        <w:rPr>
          <w:lang w:val="vi-VN"/>
        </w:rPr>
        <w:t>ách nhiệm quản lý hộ chiếu của CBCCVC Kiểm toán nhà nước. Nhiệm vụ cụ thể như sau:</w:t>
      </w:r>
    </w:p>
    <w:p w14:paraId="15674190" w14:textId="77777777" w:rsidR="00000000" w:rsidRDefault="00000000">
      <w:pPr>
        <w:spacing w:before="120" w:after="280" w:afterAutospacing="1"/>
      </w:pPr>
      <w:r>
        <w:rPr>
          <w:lang w:val="vi-VN"/>
        </w:rPr>
        <w:t>1. Thực hiện trách nhiệm quản lý hộ chiếu theo Điều 5 của Quy định này.</w:t>
      </w:r>
    </w:p>
    <w:p w14:paraId="354AF366" w14:textId="77777777" w:rsidR="00000000" w:rsidRDefault="00000000">
      <w:pPr>
        <w:spacing w:before="120" w:after="280" w:afterAutospacing="1"/>
      </w:pPr>
      <w:r>
        <w:rPr>
          <w:lang w:val="vi-VN"/>
        </w:rPr>
        <w:t>2. Thực hiện vai trò đầu mối của Kiểm toán nhà nước để thông báo bằng văn bản cho Bộ Ngoại giao, Cục Quản lý xuất nhập cảnh - Bộ Công an về việc hộ chiếu do cơ quan quản lý bị mất, hỏng và báo cáo Tổng Kiểm toán nhà nước các trường hợp vi phạm việc sử dụng và quản lý hộ chiếu để xử lý theo quy định.</w:t>
      </w:r>
    </w:p>
    <w:p w14:paraId="176871D7" w14:textId="77777777" w:rsidR="00000000" w:rsidRDefault="00000000">
      <w:pPr>
        <w:spacing w:before="120" w:after="280" w:afterAutospacing="1"/>
      </w:pPr>
      <w:r>
        <w:rPr>
          <w:b/>
          <w:bCs/>
          <w:lang w:val="vi-VN"/>
        </w:rPr>
        <w:t>Điều 7. Tổ chức thực hiện</w:t>
      </w:r>
    </w:p>
    <w:p w14:paraId="1CE3FA28" w14:textId="77777777" w:rsidR="00000000" w:rsidRDefault="00000000">
      <w:pPr>
        <w:spacing w:before="120" w:after="280" w:afterAutospacing="1"/>
      </w:pPr>
      <w:r>
        <w:rPr>
          <w:lang w:val="vi-VN"/>
        </w:rPr>
        <w:t>1. Vụ Hợp tác quốc tế chủ trì theo dõi và kiểm tra việc thực hiện Quy định này.</w:t>
      </w:r>
    </w:p>
    <w:p w14:paraId="71009B15" w14:textId="77777777" w:rsidR="00000000" w:rsidRDefault="00000000">
      <w:pPr>
        <w:spacing w:before="120" w:after="280" w:afterAutospacing="1"/>
      </w:pPr>
      <w:r>
        <w:rPr>
          <w:lang w:val="vi-VN"/>
        </w:rPr>
        <w:t>2. Thủ trưởng các đơn vị trực thuộc Kiểm toán nhà nước có trách nhiệm phổ biến, quán triệt Quy định này đến từng CBCCVC trong đơn vị để thực hiện.</w:t>
      </w:r>
    </w:p>
    <w:p w14:paraId="3F4A6A91" w14:textId="77777777" w:rsidR="00000000" w:rsidRDefault="00000000">
      <w:pPr>
        <w:spacing w:before="120" w:after="280" w:afterAutospacing="1"/>
      </w:pPr>
      <w:r>
        <w:rPr>
          <w:lang w:val="vi-VN"/>
        </w:rPr>
        <w:t xml:space="preserve">3. CBCCVC thuộc Kiểm toán nhà nước có </w:t>
      </w:r>
      <w:r>
        <w:t>tr</w:t>
      </w:r>
      <w:r>
        <w:rPr>
          <w:lang w:val="vi-VN"/>
        </w:rPr>
        <w:t>ách nhiệm thực hiện nghiêm túc Quy định này. Các cá nhân vi phạm Quy định sẽ bị xem xét, xử lý kỷ luật theo quy định.</w:t>
      </w:r>
    </w:p>
    <w:p w14:paraId="24E712EC" w14:textId="77777777" w:rsidR="005F575E" w:rsidRDefault="00000000">
      <w:pPr>
        <w:spacing w:before="120" w:after="280" w:afterAutospacing="1"/>
      </w:pPr>
      <w:r>
        <w:rPr>
          <w:lang w:val="vi-VN"/>
        </w:rPr>
        <w:t>4. Mọi vướng mắc, phát sinh trong quá trình thực hiện, thông báo Vụ Hợp tác quốc t</w:t>
      </w:r>
      <w:r>
        <w:t xml:space="preserve">ế </w:t>
      </w:r>
      <w:r>
        <w:rPr>
          <w:lang w:val="vi-VN"/>
        </w:rPr>
        <w:t>biết để tổng hợp, trình Tổng Kiểm toán nhà nước xem xét, quyết định việc sửa đổi, bổ sung Quy định này cho phù hợp với điều kiện thực tế và quy định của pháp luật hiện hành./.</w:t>
      </w:r>
    </w:p>
    <w:sectPr w:rsidR="005F575E">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5C05"/>
    <w:rsid w:val="005F575E"/>
    <w:rsid w:val="009E5C05"/>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E2CD3C4"/>
  <w15:chartTrackingRefBased/>
  <w15:docId w15:val="{60BE9FC8-80FC-4561-A8BE-A8BDC4BB20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1060</Words>
  <Characters>6047</Characters>
  <Application>Microsoft Office Word</Application>
  <DocSecurity>0</DocSecurity>
  <Lines>50</Lines>
  <Paragraphs>14</Paragraphs>
  <ScaleCrop>false</ScaleCrop>
  <Company/>
  <LinksUpToDate>false</LinksUpToDate>
  <CharactersWithSpaces>7093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2022-11-18T06:48:00Z</dcterms:created>
  <dcterms:modified xsi:type="dcterms:W3CDTF">2022-11-18T06:48:00Z</dcterms:modified>
</cp:coreProperties>
</file>